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3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28</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en-US" w:eastAsia="sr-Latn-CS"/>
              </w:rPr>
              <w:t xml:space="preserve">4. </w:t>
            </w:r>
            <w:r>
              <w:rPr>
                <w:rFonts w:eastAsia="Times New Roman" w:cs="Times New Roman" w:ascii="Times New Roman" w:hAnsi="Times New Roman"/>
                <w:b/>
                <w:bCs/>
                <w:color w:val="000000"/>
                <w:sz w:val="24"/>
                <w:szCs w:val="24"/>
                <w:lang w:val="fr-FR" w:eastAsia="sr-Latn-CS" w:bidi="ar-SA"/>
              </w:rPr>
              <w:t>FÊTE</w:t>
            </w:r>
            <w:r>
              <w:rPr>
                <w:rFonts w:eastAsia="Times New Roman" w:cs="Times New Roman" w:ascii="Times New Roman" w:hAnsi="Times New Roman"/>
                <w:b/>
                <w:bCs/>
                <w:color w:val="000000"/>
                <w:sz w:val="24"/>
                <w:szCs w:val="24"/>
                <w:lang w:val="en-US" w:eastAsia="sr-Latn-CS"/>
              </w:rPr>
              <w:t xml:space="preserv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b/>
                <w:b/>
                <w:bCs/>
                <w:color w:val="000000"/>
                <w:lang w:val="fr-FR" w:eastAsia="sr-Latn-CS"/>
              </w:rPr>
            </w:pPr>
            <w:r>
              <w:rPr>
                <w:rFonts w:eastAsia="Times New Roman" w:cs="Times New Roman" w:ascii="Times New Roman" w:hAnsi="Times New Roman"/>
                <w:b/>
                <w:bCs/>
                <w:color w:val="000000"/>
                <w:lang w:val="en-US" w:eastAsia="sr-Latn-CS"/>
              </w:rPr>
              <w:t>Les légumes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Обрада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Усвајање назива намирница.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t>- препозна и именује основне намирнице</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Фронтални, индивидуални, рад у пару и групи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p>
            <w:pPr>
              <w:pStyle w:val="Normal"/>
              <w:rPr/>
            </w:pPr>
            <w:r>
              <w:rPr>
                <w:rFonts w:ascii="Times New Roman" w:hAnsi="Times New Roman"/>
                <w:lang w:val="sr-RS"/>
              </w:rPr>
              <w:t>На картону изрезати отвор у облику кључаонице</w:t>
            </w:r>
          </w:p>
          <w:p>
            <w:pPr>
              <w:pStyle w:val="Normal"/>
              <w:rPr/>
            </w:pPr>
            <w:r>
              <w:rPr>
                <w:rFonts w:ascii="Times New Roman" w:hAnsi="Times New Roman"/>
                <w:lang w:val="sr-RS"/>
              </w:rPr>
              <w:t>Флеш картице са воћем</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Свет око нас</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ученици погађају шта је на слици тако што „шпијунирају“ кроз кључаоницу. Наставник иза картона стави флеш картицу са воћем, тако да се кроз отвор види само мали део. Ученици, жмурећи на једно око, покушавају да открију шта је на слици.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Наставник позива ученике да отворе уџбенике на стр. 31 и погледају вежбу С. Слушају аудио запис ЦД 2/3 и повезују реплике са одговарајућом сликом. Затим понављају реплике опонашајући гласове ликова. </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Увећане картице са стр, 136 (7-12) приручника за наставнике залепе се на табли. Наставник испише бројеве, нпр. од 4-9, а затим именује намирницу са слике. Ученици говоре број, а у другом кругу именују намирнице са слике.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Ученици затворе очи, наставник уклони једну слику, ученици погађају шта недостаје. </w:t>
            </w:r>
          </w:p>
          <w:p>
            <w:pPr>
              <w:pStyle w:val="Normal"/>
              <w:jc w:val="both"/>
              <w:rPr>
                <w:rFonts w:ascii="Times New Roman" w:hAnsi="Times New Roman" w:eastAsia="Times New Roman" w:cs="Times New Roman"/>
                <w:b w:val="false"/>
                <w:b w:val="false"/>
                <w:bCs w:val="false"/>
                <w:i/>
                <w:i/>
                <w:color w:val="000000"/>
                <w:sz w:val="22"/>
                <w:szCs w:val="22"/>
                <w:u w:val="none"/>
                <w:lang w:val="sr-RS" w:eastAsia="sr-Latn-CS" w:bidi="ar-SA"/>
              </w:rPr>
            </w:pPr>
            <w:r>
              <w:rPr>
                <w:rFonts w:eastAsia="Times New Roman" w:cs="Times New Roman" w:ascii="Times New Roman" w:hAnsi="Times New Roman"/>
                <w:b w:val="false"/>
                <w:bCs w:val="false"/>
                <w:i/>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Договор о потребном материјалу за следећи час – картонски тањир, маказе, лепак, бојице, сличице намирница.</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Application>LibreOffice/5.3.2.2$Windows_x86 LibreOffice_project/6cd4f1ef626f15116896b1d8e1398b56da0d0ee1</Application>
  <Pages>2</Pages>
  <Words>277</Words>
  <Characters>1552</Characters>
  <CharactersWithSpaces>1805</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2020-08-25T18:07:08Z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